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lastRenderedPageBreak/>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lastRenderedPageBreak/>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lastRenderedPageBreak/>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Fonts w:asciiTheme="minorHAnsi" w:hAnsiTheme="minorHAnsi" w:cstheme="minorHAnsi"/>
          <w:b/>
          <w:bCs/>
          <w:szCs w:val="20"/>
        </w:rPr>
        <w:t>Activele fixe</w:t>
      </w:r>
      <w:r w:rsidRPr="0054223C">
        <w:rPr>
          <w:rFonts w:asciiTheme="minorHAnsi" w:hAnsiTheme="minorHAnsi" w:cstheme="minorHAnsi"/>
          <w:szCs w:val="20"/>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necorporale</w:t>
      </w:r>
      <w:r w:rsidRPr="0054223C">
        <w:rPr>
          <w:rStyle w:val="slitbdy"/>
          <w:rFonts w:asciiTheme="minorHAnsi" w:hAnsiTheme="minorHAnsi" w:cstheme="minorHAnsi"/>
          <w:szCs w:val="20"/>
          <w:bdr w:val="none" w:sz="0" w:space="0" w:color="auto" w:frame="1"/>
          <w:shd w:val="clear" w:color="auto" w:fill="FFFFFF"/>
        </w:rPr>
        <w:t xml:space="preserve"> - active fixe fără substanță fizică, care se utilizează pe o perioadă mai mare de un an</w:t>
      </w:r>
      <w:r w:rsidRPr="0054223C">
        <w:rPr>
          <w:rFonts w:asciiTheme="minorHAnsi" w:hAnsiTheme="minorHAnsi" w:cstheme="minorHAnsi"/>
          <w:szCs w:val="20"/>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corporale</w:t>
      </w:r>
      <w:r w:rsidRPr="0054223C">
        <w:rPr>
          <w:rStyle w:val="slitbdy"/>
          <w:rFonts w:asciiTheme="minorHAnsi" w:hAnsiTheme="minorHAnsi" w:cstheme="minorHAnsi"/>
          <w:szCs w:val="20"/>
          <w:bdr w:val="none" w:sz="0" w:space="0" w:color="auto" w:frame="1"/>
          <w:shd w:val="clear" w:color="auto" w:fill="FFFFFF"/>
        </w:rPr>
        <w:t xml:space="preserve"> - active fixe care îndeplinesc cumulativ două condiții: au valoarea de intrare mai mare 2.500 lei și durata normală de utilizare mai mare de un an;</w:t>
      </w:r>
      <w:r w:rsidRPr="0054223C">
        <w:rPr>
          <w:rFonts w:asciiTheme="minorHAnsi" w:hAnsiTheme="minorHAnsi" w:cstheme="minorHAnsi"/>
          <w:b/>
          <w:szCs w:val="20"/>
        </w:rPr>
        <w:t xml:space="preserve"> </w:t>
      </w:r>
      <w:r w:rsidRPr="0054223C">
        <w:rPr>
          <w:rFonts w:asciiTheme="minorHAnsi" w:hAnsiTheme="minorHAnsi" w:cstheme="minorHAnsi"/>
          <w:szCs w:val="20"/>
        </w:rPr>
        <w:t>acestea pot fi terenuri, clădiri și instalații, utilaje și echipamente;</w:t>
      </w:r>
    </w:p>
    <w:p w14:paraId="697E2DB6" w14:textId="77777777" w:rsidR="00D9159A" w:rsidRPr="0054223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Activitate economică</w:t>
      </w:r>
      <w:r w:rsidRPr="0054223C">
        <w:rPr>
          <w:rFonts w:asciiTheme="minorHAnsi" w:hAnsiTheme="minorHAnsi" w:cstheme="minorHAnsi"/>
          <w:szCs w:val="20"/>
        </w:rPr>
        <w:t xml:space="preserve"> reprezintă orice activitate care constă în furnizarea de bunuri, servicii și lucrări pe o piață;</w:t>
      </w:r>
    </w:p>
    <w:p w14:paraId="0A66C415" w14:textId="07BD2272" w:rsidR="00D9159A" w:rsidRPr="0054223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Ajutor de stat</w:t>
      </w:r>
      <w:r w:rsidRPr="0054223C">
        <w:rPr>
          <w:rFonts w:asciiTheme="minorHAnsi" w:hAnsiTheme="minorHAnsi" w:cstheme="minorHAnsi"/>
          <w:szCs w:val="20"/>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54223C" w:rsidRDefault="00A06F23" w:rsidP="00A06F23">
      <w:pPr>
        <w:widowControl w:val="0"/>
        <w:pBdr>
          <w:top w:val="nil"/>
          <w:left w:val="nil"/>
          <w:bottom w:val="nil"/>
          <w:right w:val="nil"/>
          <w:between w:val="nil"/>
        </w:pBd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rPr>
        <w:t>Analiza DNSH</w:t>
      </w:r>
      <w:r w:rsidRPr="0054223C">
        <w:rPr>
          <w:rFonts w:asciiTheme="minorHAnsi" w:hAnsiTheme="minorHAnsi" w:cstheme="minorHAnsi"/>
          <w:szCs w:val="20"/>
        </w:rPr>
        <w:t xml:space="preserve"> – </w:t>
      </w:r>
      <w:r w:rsidR="00880E9E" w:rsidRPr="0054223C">
        <w:rPr>
          <w:rFonts w:asciiTheme="minorHAnsi" w:hAnsiTheme="minorHAnsi" w:cstheme="minorHAnsi"/>
          <w:szCs w:val="20"/>
          <w:shd w:val="clear" w:color="auto" w:fill="FFFFFF"/>
        </w:rPr>
        <w:t>analiza realizată</w:t>
      </w:r>
      <w:r w:rsidRPr="0054223C">
        <w:rPr>
          <w:rFonts w:asciiTheme="minorHAnsi" w:hAnsiTheme="minorHAnsi" w:cstheme="minorHAnsi"/>
          <w:szCs w:val="20"/>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54223C" w:rsidRDefault="00762DED" w:rsidP="00762DED">
      <w:pPr>
        <w:widowControl w:val="0"/>
        <w:pBdr>
          <w:top w:val="nil"/>
          <w:left w:val="nil"/>
          <w:bottom w:val="nil"/>
          <w:right w:val="nil"/>
          <w:between w:val="nil"/>
        </w:pBdr>
        <w:spacing w:before="240" w:after="0"/>
        <w:jc w:val="both"/>
        <w:rPr>
          <w:rFonts w:asciiTheme="minorHAnsi" w:hAnsiTheme="minorHAnsi" w:cstheme="minorHAnsi"/>
          <w:szCs w:val="20"/>
        </w:rPr>
      </w:pPr>
      <w:r w:rsidRPr="0054223C">
        <w:rPr>
          <w:rFonts w:asciiTheme="minorHAnsi" w:hAnsiTheme="minorHAnsi" w:cstheme="minorHAnsi"/>
          <w:b/>
          <w:szCs w:val="20"/>
        </w:rPr>
        <w:t xml:space="preserve">Caracterul durabil </w:t>
      </w:r>
      <w:r w:rsidRPr="0054223C">
        <w:rPr>
          <w:rFonts w:asciiTheme="minorHAnsi" w:hAnsiTheme="minorHAnsi" w:cstheme="minorHAnsi"/>
          <w:szCs w:val="20"/>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înceteze activitatea productivă sau să o transfere în afara regiunii de nivel NUTS 2 în care a primit sprijin; </w:t>
      </w:r>
    </w:p>
    <w:p w14:paraId="47A6DF0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520F52BA" w14:textId="266AE391" w:rsidR="00762DED" w:rsidRPr="0054223C"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9F3F548" w14:textId="70E85FA6" w:rsidR="00880E9E" w:rsidRPr="0054223C" w:rsidRDefault="00880E9E" w:rsidP="002E55DF">
      <w:pPr>
        <w:widowControl w:val="0"/>
        <w:pBdr>
          <w:top w:val="nil"/>
          <w:left w:val="nil"/>
          <w:bottom w:val="nil"/>
          <w:right w:val="nil"/>
          <w:between w:val="nil"/>
        </w:pBdr>
        <w:spacing w:before="240" w:after="0"/>
        <w:jc w:val="both"/>
        <w:rPr>
          <w:rFonts w:asciiTheme="minorHAnsi" w:hAnsiTheme="minorHAnsi" w:cstheme="minorHAnsi"/>
          <w:b/>
          <w:szCs w:val="20"/>
        </w:rPr>
      </w:pPr>
      <w:r w:rsidRPr="0054223C">
        <w:rPr>
          <w:rFonts w:asciiTheme="minorHAnsi" w:hAnsiTheme="minorHAnsi" w:cstheme="minorHAnsi"/>
          <w:b/>
          <w:szCs w:val="20"/>
        </w:rPr>
        <w:t xml:space="preserve">Contractul de finanțare </w:t>
      </w:r>
      <w:r w:rsidRPr="0054223C">
        <w:rPr>
          <w:rFonts w:asciiTheme="minorHAnsi" w:hAnsiTheme="minorHAnsi" w:cstheme="minorHAnsi"/>
          <w:szCs w:val="20"/>
        </w:rPr>
        <w:t>este actul juridic, cu titlu oneros, de adeziune, încheiat între</w:t>
      </w:r>
      <w:r w:rsidRPr="00675AE2">
        <w:rPr>
          <w:rFonts w:asciiTheme="minorHAnsi" w:hAnsiTheme="minorHAnsi" w:cstheme="minorHAnsi"/>
          <w:sz w:val="24"/>
        </w:rPr>
        <w:t xml:space="preserve"> </w:t>
      </w:r>
      <w:r w:rsidRPr="0054223C">
        <w:rPr>
          <w:rFonts w:asciiTheme="minorHAnsi" w:hAnsiTheme="minorHAnsi" w:cstheme="minorHAnsi"/>
          <w:szCs w:val="20"/>
        </w:rPr>
        <w:t>autoritatea de management, și beneficiar, astfel cum este definit la art. 2 pct. 9 din Regulamentul (UE) 2021/1060, prin care se stabilesc drepturile și obligațiile corelative ale părților în vederea implementării operațiunilor;</w:t>
      </w:r>
    </w:p>
    <w:p w14:paraId="459D134E" w14:textId="21E412C6" w:rsidR="0054223C" w:rsidRPr="0074211A" w:rsidRDefault="00E9677B" w:rsidP="00D87A5D">
      <w:pPr>
        <w:spacing w:after="0"/>
        <w:jc w:val="both"/>
        <w:rPr>
          <w:rFonts w:asciiTheme="minorHAnsi" w:eastAsiaTheme="minorHAnsi" w:hAnsiTheme="minorHAnsi" w:cstheme="minorHAnsi"/>
          <w:bCs/>
          <w:szCs w:val="20"/>
        </w:rPr>
      </w:pPr>
      <w:r w:rsidRPr="0074211A">
        <w:rPr>
          <w:rFonts w:asciiTheme="minorHAnsi" w:eastAsiaTheme="minorHAnsi" w:hAnsiTheme="minorHAnsi" w:cstheme="minorHAnsi"/>
          <w:b/>
          <w:szCs w:val="20"/>
        </w:rPr>
        <w:t xml:space="preserve">Capacitatea Unității de învățământ preșcolar (ICS) - </w:t>
      </w:r>
      <w:r w:rsidRPr="0074211A">
        <w:rPr>
          <w:rFonts w:asciiTheme="minorHAnsi" w:eastAsiaTheme="minorHAnsi" w:hAnsiTheme="minorHAnsi" w:cstheme="minorHAnsi"/>
          <w:bCs/>
          <w:szCs w:val="20"/>
        </w:rPr>
        <w:t>Capacitatea unității este definită de Indicele Capacității Școlii (ICS) ca raportul între numărul de locuri și numărul copiilor înscriși într-o unitate de învățământ preșcolar.</w:t>
      </w:r>
    </w:p>
    <w:p w14:paraId="62D9953B" w14:textId="7B9C221F" w:rsidR="00E9677B" w:rsidRPr="00E9677B" w:rsidRDefault="00E9677B" w:rsidP="00D87A5D">
      <w:pPr>
        <w:spacing w:after="0"/>
        <w:jc w:val="both"/>
        <w:rPr>
          <w:rFonts w:asciiTheme="minorHAnsi" w:eastAsiaTheme="minorHAnsi" w:hAnsiTheme="minorHAnsi" w:cstheme="minorHAnsi"/>
          <w:bCs/>
          <w:szCs w:val="20"/>
        </w:rPr>
      </w:pPr>
      <w:r w:rsidRPr="0074211A">
        <w:rPr>
          <w:rFonts w:asciiTheme="minorHAnsi" w:eastAsiaTheme="minorHAnsi" w:hAnsiTheme="minorHAnsi" w:cstheme="minorHAnsi"/>
          <w:b/>
          <w:szCs w:val="20"/>
        </w:rPr>
        <w:t xml:space="preserve">Caracterul Adecvat al Utilităților - </w:t>
      </w:r>
      <w:r w:rsidRPr="0074211A">
        <w:rPr>
          <w:rFonts w:asciiTheme="minorHAnsi" w:eastAsiaTheme="minorHAnsi" w:hAnsiTheme="minorHAnsi" w:cstheme="minorHAnsi"/>
          <w:bCs/>
          <w:szCs w:val="20"/>
        </w:rPr>
        <w:t>Utilitățile unităților sunt considerate “inadecvate” dacă oricare dintre cele șase condiții se aplică: (a) nu au autorizație sanitară, (b)  nu sunt conectate la o sursă de apă autorizată, (c) nu au sistem de colectare a deșeurilor, (d)  nu au centrală  termică,  bazându-se  în  schimb  doar  pe  sobe/șeminee,</w:t>
      </w:r>
      <w:r w:rsidRPr="0074211A">
        <w:rPr>
          <w:rFonts w:asciiTheme="minorHAnsi" w:eastAsiaTheme="minorHAnsi" w:hAnsiTheme="minorHAnsi" w:cstheme="minorHAnsi"/>
          <w:b/>
          <w:szCs w:val="20"/>
        </w:rPr>
        <w:t xml:space="preserve">  </w:t>
      </w:r>
      <w:r w:rsidRPr="0074211A">
        <w:rPr>
          <w:rFonts w:asciiTheme="minorHAnsi" w:eastAsiaTheme="minorHAnsi" w:hAnsiTheme="minorHAnsi" w:cstheme="minorHAnsi"/>
          <w:bCs/>
          <w:szCs w:val="20"/>
        </w:rPr>
        <w:t>(e)   nu  au grupuri sanitare interioare (doar exterioare), sau (f)  nu sunt conectate la sistemul de canalizare si nu au fosă septică.</w:t>
      </w:r>
    </w:p>
    <w:p w14:paraId="65D445FF" w14:textId="3D67CB65" w:rsidR="0054223C" w:rsidRPr="004A7C0D" w:rsidRDefault="0054223C" w:rsidP="00D87A5D">
      <w:pPr>
        <w:spacing w:after="0"/>
        <w:jc w:val="both"/>
        <w:rPr>
          <w:rFonts w:asciiTheme="minorHAnsi" w:eastAsiaTheme="minorHAnsi" w:hAnsiTheme="minorHAnsi" w:cstheme="minorHAnsi"/>
          <w:b/>
          <w:szCs w:val="20"/>
          <w:lang w:val="en-US"/>
        </w:rPr>
      </w:pPr>
      <w:r w:rsidRPr="0054223C">
        <w:rPr>
          <w:rFonts w:asciiTheme="minorHAnsi" w:eastAsiaTheme="minorHAnsi" w:hAnsiTheme="minorHAnsi" w:cstheme="minorHAnsi"/>
          <w:b/>
          <w:szCs w:val="20"/>
        </w:rPr>
        <w:t xml:space="preserve">Declarație unică - </w:t>
      </w:r>
      <w:r w:rsidRPr="0054223C">
        <w:rPr>
          <w:rFonts w:asciiTheme="minorHAnsi" w:eastAsiaTheme="minorHAnsi" w:hAnsiTheme="minorHAnsi" w:cstheme="minorHAnsi"/>
          <w:bCs/>
          <w:szCs w:val="20"/>
        </w:rPr>
        <w:t>declarație pe propria răspundere a solicitantului/partenerului/liderului de parteneriat,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CB69315" w14:textId="1B8E42BF" w:rsidR="00D93EDC" w:rsidRDefault="00E564E4" w:rsidP="00D87A5D">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szCs w:val="20"/>
        </w:rPr>
        <w:t xml:space="preserve">Imobilul </w:t>
      </w:r>
      <w:r w:rsidRPr="0054223C">
        <w:rPr>
          <w:rFonts w:asciiTheme="minorHAnsi" w:eastAsiaTheme="minorHAnsi" w:hAnsiTheme="minorHAnsi" w:cstheme="minorHAnsi"/>
          <w:szCs w:val="20"/>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15BFB3CD"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realizare</w:t>
      </w:r>
      <w:r w:rsidRPr="0054223C">
        <w:rPr>
          <w:rFonts w:asciiTheme="minorHAnsi" w:eastAsiaTheme="minorHAnsi" w:hAnsiTheme="minorHAnsi" w:cstheme="minorHAnsi"/>
          <w:szCs w:val="20"/>
        </w:rPr>
        <w:t xml:space="preserve"> înseamnă un indicator de măsurare a rezultatelor specifice ale intervenției;</w:t>
      </w:r>
    </w:p>
    <w:p w14:paraId="76617BA3"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rezultat</w:t>
      </w:r>
      <w:r w:rsidRPr="0054223C">
        <w:rPr>
          <w:rFonts w:asciiTheme="minorHAnsi" w:eastAsiaTheme="minorHAnsi" w:hAnsiTheme="minorHAnsi" w:cstheme="minorHAnsi"/>
          <w:szCs w:val="20"/>
        </w:rPr>
        <w:t xml:space="preserve"> înseamnă un indicator de măsurare a efectelor intervențiilor sprijinite, în special în ceea ce privește destinatarii direcți, populația vizată sau utilizatorii infrastructurii;</w:t>
      </w:r>
    </w:p>
    <w:p w14:paraId="6511A49B" w14:textId="14D116F3"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Indicatori de etapă</w:t>
      </w:r>
      <w:r w:rsidRPr="0054223C">
        <w:rPr>
          <w:rFonts w:asciiTheme="minorHAnsi" w:eastAsiaTheme="minorHAnsi" w:hAnsiTheme="minorHAnsi" w:cstheme="minorHAnsi"/>
          <w:szCs w:val="20"/>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3BAD7B43" w14:textId="3116F804" w:rsidR="00FC1128" w:rsidRDefault="00FC1128" w:rsidP="00D87A5D">
      <w:pP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shd w:val="clear" w:color="auto" w:fill="FFFFFF"/>
        </w:rPr>
        <w:t>Imunizare la schimbările climatice</w:t>
      </w:r>
      <w:r w:rsidRPr="0054223C">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3B10FF1" w14:textId="77427217" w:rsidR="00E3739B" w:rsidRPr="0074211A" w:rsidRDefault="00E3739B" w:rsidP="00D87A5D">
      <w:pPr>
        <w:spacing w:after="0"/>
        <w:jc w:val="both"/>
        <w:rPr>
          <w:rFonts w:asciiTheme="minorHAnsi" w:hAnsiTheme="minorHAnsi" w:cstheme="minorHAnsi"/>
          <w:szCs w:val="20"/>
          <w:shd w:val="clear" w:color="auto" w:fill="FFFFFF"/>
        </w:rPr>
      </w:pPr>
      <w:r w:rsidRPr="0074211A">
        <w:rPr>
          <w:rFonts w:asciiTheme="minorHAnsi" w:hAnsiTheme="minorHAnsi" w:cstheme="minorHAnsi"/>
          <w:b/>
          <w:bCs/>
          <w:szCs w:val="20"/>
          <w:shd w:val="clear" w:color="auto" w:fill="FFFFFF"/>
        </w:rPr>
        <w:t xml:space="preserve">Pregătirea pentru Învățământul Primar (PRÎP) - </w:t>
      </w:r>
      <w:r w:rsidRPr="0074211A">
        <w:rPr>
          <w:rFonts w:asciiTheme="minorHAnsi" w:hAnsiTheme="minorHAnsi" w:cstheme="minorHAnsi"/>
          <w:szCs w:val="20"/>
          <w:shd w:val="clear" w:color="auto" w:fill="FFFFFF"/>
        </w:rPr>
        <w:t>Proporția elevilor din învățământul primar înscriși prima oară în clasa 0 care au fost înscriși în învățământul preșcolar.</w:t>
      </w:r>
    </w:p>
    <w:p w14:paraId="761AB63E" w14:textId="445D8E1B" w:rsidR="004F63A2" w:rsidRPr="0074211A" w:rsidRDefault="004F63A2" w:rsidP="00762DED">
      <w:pPr>
        <w:widowControl w:val="0"/>
        <w:pBdr>
          <w:top w:val="nil"/>
          <w:left w:val="nil"/>
          <w:bottom w:val="nil"/>
          <w:right w:val="nil"/>
          <w:between w:val="nil"/>
        </w:pBdr>
        <w:spacing w:after="0"/>
        <w:jc w:val="both"/>
        <w:rPr>
          <w:rFonts w:asciiTheme="minorHAnsi" w:hAnsiTheme="minorHAnsi" w:cstheme="minorHAnsi"/>
          <w:b/>
          <w:szCs w:val="20"/>
        </w:rPr>
      </w:pPr>
      <w:r w:rsidRPr="0074211A">
        <w:rPr>
          <w:rFonts w:asciiTheme="minorHAnsi" w:hAnsiTheme="minorHAnsi" w:cstheme="minorHAnsi"/>
          <w:b/>
          <w:szCs w:val="20"/>
        </w:rPr>
        <w:t xml:space="preserve">Presiune Demografică (PD) </w:t>
      </w:r>
      <w:r w:rsidRPr="0074211A">
        <w:rPr>
          <w:rFonts w:asciiTheme="minorHAnsi" w:hAnsiTheme="minorHAnsi" w:cstheme="minorHAnsi"/>
          <w:szCs w:val="20"/>
        </w:rPr>
        <w:t xml:space="preserve">înseamnă </w:t>
      </w:r>
      <w:r w:rsidR="00E9677B" w:rsidRPr="0074211A">
        <w:rPr>
          <w:rFonts w:asciiTheme="minorHAnsi" w:hAnsiTheme="minorHAnsi" w:cstheme="minorHAnsi"/>
          <w:szCs w:val="20"/>
        </w:rPr>
        <w:t>Rata de creștere a populației de vârstă preșcolară (3-5 ani) pe baza mediei anuale de creștere demografică între 2018 și 2022.</w:t>
      </w:r>
    </w:p>
    <w:p w14:paraId="23BC3B61" w14:textId="10A1134F" w:rsidR="00762DED" w:rsidRPr="004A7C0D" w:rsidRDefault="004A7C0D" w:rsidP="00762DED">
      <w:pPr>
        <w:widowControl w:val="0"/>
        <w:pBdr>
          <w:top w:val="nil"/>
          <w:left w:val="nil"/>
          <w:bottom w:val="nil"/>
          <w:right w:val="nil"/>
          <w:between w:val="nil"/>
        </w:pBdr>
        <w:spacing w:after="0"/>
        <w:jc w:val="both"/>
        <w:rPr>
          <w:rFonts w:asciiTheme="minorHAnsi" w:hAnsiTheme="minorHAnsi" w:cstheme="minorHAnsi"/>
          <w:b/>
          <w:bCs/>
          <w:szCs w:val="20"/>
        </w:rPr>
      </w:pPr>
      <w:r w:rsidRPr="0074211A">
        <w:rPr>
          <w:rFonts w:asciiTheme="minorHAnsi" w:hAnsiTheme="minorHAnsi" w:cstheme="minorHAnsi"/>
          <w:b/>
          <w:bCs/>
          <w:szCs w:val="20"/>
        </w:rPr>
        <w:t xml:space="preserve">Rata de Participare în Învățământul Preșcolar (PÎP) - </w:t>
      </w:r>
      <w:r w:rsidRPr="0074211A">
        <w:rPr>
          <w:rFonts w:asciiTheme="minorHAnsi" w:hAnsiTheme="minorHAnsi" w:cstheme="minorHAnsi"/>
          <w:szCs w:val="20"/>
        </w:rPr>
        <w:t>Calculat drept procentul copiilor cu vârste între 3 și 5 ani înscriși în  invatamantul  preșcolar   din populația de aceeași grupă de vârstă la nivelul UAT.</w:t>
      </w:r>
      <w:r w:rsidR="00762DED" w:rsidRPr="004A7C0D">
        <w:rPr>
          <w:rFonts w:asciiTheme="minorHAnsi" w:hAnsiTheme="minorHAnsi" w:cstheme="minorHAnsi"/>
          <w:b/>
          <w:bCs/>
          <w:szCs w:val="20"/>
        </w:rPr>
        <w:t xml:space="preserve"> </w:t>
      </w:r>
    </w:p>
    <w:p w14:paraId="40EB9437" w14:textId="17794E44" w:rsidR="00E564E4" w:rsidRPr="0054223C" w:rsidRDefault="00E564E4" w:rsidP="00E564E4">
      <w:pPr>
        <w:widowControl w:val="0"/>
        <w:pBdr>
          <w:top w:val="nil"/>
          <w:left w:val="nil"/>
          <w:bottom w:val="nil"/>
          <w:right w:val="nil"/>
          <w:between w:val="nil"/>
        </w:pBdr>
        <w:spacing w:before="240" w:after="0"/>
        <w:jc w:val="both"/>
        <w:rPr>
          <w:rFonts w:asciiTheme="minorHAnsi" w:hAnsiTheme="minorHAnsi" w:cstheme="minorHAnsi"/>
          <w:szCs w:val="20"/>
        </w:rPr>
      </w:pPr>
      <w:r w:rsidRPr="0054223C">
        <w:rPr>
          <w:rFonts w:asciiTheme="minorHAnsi" w:hAnsiTheme="minorHAnsi" w:cstheme="minorHAnsi"/>
          <w:b/>
          <w:szCs w:val="20"/>
        </w:rPr>
        <w:t xml:space="preserve">Regiunea de Dezvoltare </w:t>
      </w:r>
      <w:r w:rsidR="00D93EDC" w:rsidRPr="0054223C">
        <w:rPr>
          <w:rFonts w:asciiTheme="minorHAnsi" w:hAnsiTheme="minorHAnsi" w:cstheme="minorHAnsi"/>
          <w:b/>
          <w:szCs w:val="20"/>
        </w:rPr>
        <w:t>Sud</w:t>
      </w:r>
      <w:r w:rsidRPr="0054223C">
        <w:rPr>
          <w:rFonts w:asciiTheme="minorHAnsi" w:hAnsiTheme="minorHAnsi" w:cstheme="minorHAnsi"/>
          <w:b/>
          <w:szCs w:val="20"/>
        </w:rPr>
        <w:t>-Vest</w:t>
      </w:r>
      <w:r w:rsidR="00D93EDC" w:rsidRPr="0054223C">
        <w:rPr>
          <w:rFonts w:asciiTheme="minorHAnsi" w:hAnsiTheme="minorHAnsi" w:cstheme="minorHAnsi"/>
          <w:b/>
          <w:szCs w:val="20"/>
        </w:rPr>
        <w:t xml:space="preserve"> Oltenia</w:t>
      </w:r>
      <w:r w:rsidRPr="0054223C">
        <w:rPr>
          <w:rFonts w:asciiTheme="minorHAnsi" w:hAnsiTheme="minorHAnsi" w:cstheme="minorHAnsi"/>
          <w:szCs w:val="20"/>
        </w:rPr>
        <w:t xml:space="preserve"> cuprinde județele</w:t>
      </w:r>
      <w:r w:rsidR="00D93EDC" w:rsidRPr="0054223C">
        <w:rPr>
          <w:rFonts w:asciiTheme="minorHAnsi" w:hAnsiTheme="minorHAnsi" w:cstheme="minorHAnsi"/>
          <w:szCs w:val="20"/>
        </w:rPr>
        <w:t xml:space="preserve"> </w:t>
      </w:r>
      <w:hyperlink r:id="rId8" w:tooltip="Dolj" w:history="1">
        <w:r w:rsidR="00D93EDC" w:rsidRPr="0054223C">
          <w:rPr>
            <w:rStyle w:val="Hyperlink"/>
            <w:rFonts w:asciiTheme="minorHAnsi" w:hAnsiTheme="minorHAnsi" w:cstheme="minorHAnsi"/>
            <w:color w:val="auto"/>
            <w:szCs w:val="20"/>
            <w:shd w:val="clear" w:color="auto" w:fill="FFFFFF"/>
          </w:rPr>
          <w:t>Dolj</w:t>
        </w:r>
      </w:hyperlink>
      <w:r w:rsidR="00D93EDC" w:rsidRPr="0054223C">
        <w:rPr>
          <w:rFonts w:asciiTheme="minorHAnsi" w:hAnsiTheme="minorHAnsi" w:cstheme="minorHAnsi"/>
          <w:szCs w:val="20"/>
          <w:shd w:val="clear" w:color="auto" w:fill="FFFFFF"/>
        </w:rPr>
        <w:t>, </w:t>
      </w:r>
      <w:hyperlink r:id="rId9" w:tooltip="Gorj" w:history="1">
        <w:r w:rsidR="00D93EDC" w:rsidRPr="0054223C">
          <w:rPr>
            <w:rStyle w:val="Hyperlink"/>
            <w:rFonts w:asciiTheme="minorHAnsi" w:hAnsiTheme="minorHAnsi" w:cstheme="minorHAnsi"/>
            <w:color w:val="auto"/>
            <w:szCs w:val="20"/>
            <w:shd w:val="clear" w:color="auto" w:fill="FFFFFF"/>
          </w:rPr>
          <w:t>Gorj</w:t>
        </w:r>
      </w:hyperlink>
      <w:r w:rsidR="00D93EDC" w:rsidRPr="0054223C">
        <w:rPr>
          <w:rFonts w:asciiTheme="minorHAnsi" w:hAnsiTheme="minorHAnsi" w:cstheme="minorHAnsi"/>
          <w:szCs w:val="20"/>
          <w:shd w:val="clear" w:color="auto" w:fill="FFFFFF"/>
        </w:rPr>
        <w:t>, </w:t>
      </w:r>
      <w:hyperlink r:id="rId10" w:tooltip="Mehedinți" w:history="1">
        <w:r w:rsidR="00D93EDC" w:rsidRPr="0054223C">
          <w:rPr>
            <w:rStyle w:val="Hyperlink"/>
            <w:rFonts w:asciiTheme="minorHAnsi" w:hAnsiTheme="minorHAnsi" w:cstheme="minorHAnsi"/>
            <w:color w:val="auto"/>
            <w:szCs w:val="20"/>
            <w:shd w:val="clear" w:color="auto" w:fill="FFFFFF"/>
          </w:rPr>
          <w:t>Mehedinți</w:t>
        </w:r>
      </w:hyperlink>
      <w:r w:rsidR="00D93EDC" w:rsidRPr="0054223C">
        <w:rPr>
          <w:rFonts w:asciiTheme="minorHAnsi" w:hAnsiTheme="minorHAnsi" w:cstheme="minorHAnsi"/>
          <w:szCs w:val="20"/>
          <w:shd w:val="clear" w:color="auto" w:fill="FFFFFF"/>
        </w:rPr>
        <w:t>, </w:t>
      </w:r>
      <w:hyperlink r:id="rId11" w:tooltip="Olt" w:history="1">
        <w:r w:rsidR="00D93EDC" w:rsidRPr="0054223C">
          <w:rPr>
            <w:rStyle w:val="Hyperlink"/>
            <w:rFonts w:asciiTheme="minorHAnsi" w:hAnsiTheme="minorHAnsi" w:cstheme="minorHAnsi"/>
            <w:color w:val="auto"/>
            <w:szCs w:val="20"/>
            <w:shd w:val="clear" w:color="auto" w:fill="FFFFFF"/>
          </w:rPr>
          <w:t>Olt</w:t>
        </w:r>
      </w:hyperlink>
      <w:r w:rsidR="00D93EDC" w:rsidRPr="0054223C">
        <w:rPr>
          <w:rFonts w:asciiTheme="minorHAnsi" w:hAnsiTheme="minorHAnsi" w:cstheme="minorHAnsi"/>
          <w:szCs w:val="20"/>
          <w:shd w:val="clear" w:color="auto" w:fill="FFFFFF"/>
        </w:rPr>
        <w:t> și </w:t>
      </w:r>
      <w:hyperlink r:id="rId12" w:tooltip="Vâlcea" w:history="1">
        <w:r w:rsidR="00D93EDC" w:rsidRPr="0054223C">
          <w:rPr>
            <w:rStyle w:val="Hyperlink"/>
            <w:rFonts w:asciiTheme="minorHAnsi" w:hAnsiTheme="minorHAnsi" w:cstheme="minorHAnsi"/>
            <w:color w:val="auto"/>
            <w:szCs w:val="20"/>
            <w:shd w:val="clear" w:color="auto" w:fill="FFFFFF"/>
          </w:rPr>
          <w:t>Vâlcea</w:t>
        </w:r>
      </w:hyperlink>
      <w:r w:rsidRPr="0054223C">
        <w:rPr>
          <w:rFonts w:asciiTheme="minorHAnsi" w:hAnsiTheme="minorHAnsi" w:cstheme="minorHAnsi"/>
          <w:szCs w:val="20"/>
        </w:rPr>
        <w:t>, astfel cum au fost acestea grupate în cadrul Anexei la Legea nr. 315 din 28 iunie 2004 privind dezvoltarea regională în România.</w:t>
      </w:r>
      <w:r w:rsidRPr="0054223C">
        <w:rPr>
          <w:rFonts w:asciiTheme="minorHAnsi" w:hAnsiTheme="minorHAnsi" w:cstheme="minorHAnsi"/>
          <w:szCs w:val="20"/>
          <w:vertAlign w:val="superscript"/>
        </w:rPr>
        <w:t xml:space="preserve"> </w:t>
      </w:r>
      <w:r w:rsidRPr="0054223C">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A76AB7">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0E271" w14:textId="77777777" w:rsidR="00A76AB7" w:rsidRDefault="00A76AB7" w:rsidP="007D26DE">
      <w:pPr>
        <w:spacing w:before="0" w:after="0"/>
      </w:pPr>
      <w:r>
        <w:separator/>
      </w:r>
    </w:p>
  </w:endnote>
  <w:endnote w:type="continuationSeparator" w:id="0">
    <w:p w14:paraId="73B201C0" w14:textId="77777777" w:rsidR="00A76AB7" w:rsidRDefault="00A76AB7"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307E8" w14:textId="77777777" w:rsidR="00A76AB7" w:rsidRDefault="00A76AB7" w:rsidP="007D26DE">
      <w:pPr>
        <w:spacing w:before="0" w:after="0"/>
      </w:pPr>
      <w:r>
        <w:separator/>
      </w:r>
    </w:p>
  </w:footnote>
  <w:footnote w:type="continuationSeparator" w:id="0">
    <w:p w14:paraId="2371B0F1" w14:textId="77777777" w:rsidR="00A76AB7" w:rsidRDefault="00A76AB7"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8FACF"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Programul Regional Sud-Vest Oltenia 2021-2027</w:t>
    </w:r>
  </w:p>
  <w:p w14:paraId="336A8CB3"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Prioritatea 6:  Educatie moderna si incluziva</w:t>
    </w:r>
  </w:p>
  <w:p w14:paraId="1CDC282A" w14:textId="77777777" w:rsidR="00312BB5" w:rsidRDefault="0054223C"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Obiectiv specific: </w:t>
    </w:r>
    <w:r w:rsidR="007206FB" w:rsidRPr="007206FB">
      <w:rPr>
        <w:rFonts w:asciiTheme="minorHAnsi" w:hAnsiTheme="minorHAnsi" w:cstheme="minorHAnsi"/>
        <w:sz w:val="16"/>
        <w:szCs w:val="16"/>
      </w:rPr>
      <w:t xml:space="preserve">RSO4.2. </w:t>
    </w:r>
    <w:r w:rsidR="007206FB" w:rsidRPr="007206FB">
      <w:rPr>
        <w:rFonts w:asciiTheme="minorHAnsi" w:hAnsiTheme="minorHAnsi" w:cstheme="minorHAnsi"/>
        <w:sz w:val="16"/>
        <w:szCs w:val="16"/>
      </w:rPr>
      <w:t xml:space="preserve">Îmbunătățirea accesului la servicii și favorabile incluziunii și de calitate în educație, formare și învățare pe tot parcursul vieții prin dezvoltarea infrastructurii accesibile, inclusiv prin promovarea rezilienței pentru educația și formarea </w:t>
    </w:r>
    <w:r w:rsidR="007206FB" w:rsidRPr="007206FB">
      <w:rPr>
        <w:rFonts w:asciiTheme="minorHAnsi" w:hAnsiTheme="minorHAnsi" w:cstheme="minorHAnsi"/>
        <w:sz w:val="16"/>
        <w:szCs w:val="16"/>
      </w:rPr>
      <w:t>la distanță și online</w:t>
    </w:r>
  </w:p>
  <w:p w14:paraId="565D5E41" w14:textId="24F31793" w:rsidR="00117B40" w:rsidRPr="0054223C" w:rsidRDefault="00117B40"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Acţiunea: </w:t>
    </w:r>
    <w:r w:rsidR="0054223C" w:rsidRPr="0054223C">
      <w:rPr>
        <w:rFonts w:asciiTheme="minorHAnsi" w:hAnsiTheme="minorHAnsi" w:cstheme="minorHAnsi"/>
        <w:sz w:val="16"/>
        <w:szCs w:val="16"/>
      </w:rPr>
      <w:t>Investiții în dezvoltarea infrastructurii educaționale pentru nivel preșcolar</w:t>
    </w:r>
  </w:p>
  <w:p w14:paraId="433AE3CE" w14:textId="77777777" w:rsidR="00117B40" w:rsidRPr="0054223C" w:rsidRDefault="00117B40" w:rsidP="001352FA">
    <w:pPr>
      <w:pStyle w:val="5Normal"/>
      <w:spacing w:after="0"/>
      <w:jc w:val="left"/>
      <w:rPr>
        <w:rFonts w:asciiTheme="minorHAnsi" w:hAnsiTheme="minorHAnsi" w:cstheme="minorHAnsi"/>
        <w:sz w:val="16"/>
        <w:szCs w:val="16"/>
      </w:rPr>
    </w:pPr>
  </w:p>
  <w:p w14:paraId="509ED426" w14:textId="03836972" w:rsidR="001B7380" w:rsidRPr="0054223C" w:rsidRDefault="001B7380" w:rsidP="00675AE2">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Solicitantului - Apel de proiecte nr. </w:t>
    </w:r>
    <w:r w:rsidRPr="0054223C">
      <w:rPr>
        <w:rFonts w:asciiTheme="minorHAnsi" w:hAnsiTheme="minorHAnsi" w:cstheme="minorHAnsi"/>
        <w:b/>
        <w:sz w:val="16"/>
        <w:szCs w:val="16"/>
        <w:lang w:val="pt-BR"/>
      </w:rPr>
      <w:t>PR SV/</w:t>
    </w:r>
    <w:r w:rsidR="0054223C" w:rsidRPr="0054223C">
      <w:rPr>
        <w:rFonts w:asciiTheme="minorHAnsi" w:hAnsiTheme="minorHAnsi" w:cstheme="minorHAnsi"/>
        <w:b/>
        <w:sz w:val="16"/>
        <w:szCs w:val="16"/>
        <w:lang w:val="pt-BR"/>
      </w:rPr>
      <w:t>A</w:t>
    </w:r>
    <w:r w:rsidRPr="0054223C">
      <w:rPr>
        <w:rFonts w:asciiTheme="minorHAnsi" w:hAnsiTheme="minorHAnsi" w:cstheme="minorHAnsi"/>
        <w:b/>
        <w:sz w:val="16"/>
        <w:szCs w:val="16"/>
        <w:lang w:val="pt-BR"/>
      </w:rPr>
      <w:t>1/</w:t>
    </w:r>
    <w:r w:rsidR="00331BB7" w:rsidRPr="0054223C">
      <w:rPr>
        <w:rFonts w:asciiTheme="minorHAnsi" w:hAnsiTheme="minorHAnsi" w:cstheme="minorHAnsi"/>
        <w:b/>
        <w:sz w:val="16"/>
        <w:szCs w:val="16"/>
        <w:lang w:val="pt-BR"/>
      </w:rPr>
      <w:t>6</w:t>
    </w:r>
    <w:r w:rsidRPr="0054223C">
      <w:rPr>
        <w:rFonts w:asciiTheme="minorHAnsi" w:hAnsiTheme="minorHAnsi" w:cstheme="minorHAnsi"/>
        <w:b/>
        <w:sz w:val="16"/>
        <w:szCs w:val="16"/>
        <w:lang w:val="pt-BR"/>
      </w:rPr>
      <w:t>/</w:t>
    </w:r>
    <w:r w:rsidR="00331BB7" w:rsidRPr="0054223C">
      <w:rPr>
        <w:rFonts w:asciiTheme="minorHAnsi" w:hAnsiTheme="minorHAnsi" w:cstheme="minorHAnsi"/>
        <w:b/>
        <w:sz w:val="16"/>
        <w:szCs w:val="16"/>
        <w:lang w:val="pt-BR"/>
      </w:rPr>
      <w:t>4</w:t>
    </w:r>
    <w:r w:rsidRPr="0054223C">
      <w:rPr>
        <w:rFonts w:asciiTheme="minorHAnsi" w:hAnsiTheme="minorHAnsi" w:cstheme="minorHAnsi"/>
        <w:b/>
        <w:sz w:val="16"/>
        <w:szCs w:val="16"/>
        <w:lang w:val="pt-BR"/>
      </w:rPr>
      <w:t>.2/202</w:t>
    </w:r>
    <w:r w:rsidR="0054223C" w:rsidRPr="0054223C">
      <w:rPr>
        <w:rFonts w:asciiTheme="minorHAnsi" w:hAnsiTheme="minorHAnsi" w:cstheme="minorHAnsi"/>
        <w:b/>
        <w:sz w:val="16"/>
        <w:szCs w:val="16"/>
        <w:lang w:val="pt-BR"/>
      </w:rPr>
      <w:t>4</w:t>
    </w:r>
    <w:r w:rsidRPr="0054223C">
      <w:rPr>
        <w:rFonts w:asciiTheme="minorHAnsi" w:hAnsiTheme="minorHAnsi" w:cstheme="minorHAnsi"/>
        <w:b/>
        <w:sz w:val="16"/>
        <w:szCs w:val="16"/>
        <w:lang w:val="pt-BR"/>
      </w:rPr>
      <w:t xml:space="preserve"> – Anexa I</w:t>
    </w:r>
  </w:p>
  <w:p w14:paraId="783D9124" w14:textId="437CEECF" w:rsidR="007D26DE" w:rsidRPr="0054223C" w:rsidRDefault="0053778E" w:rsidP="0053778E">
    <w:pPr>
      <w:pStyle w:val="Header"/>
      <w:jc w:val="right"/>
      <w:rPr>
        <w:rFonts w:asciiTheme="minorHAnsi" w:hAnsiTheme="minorHAnsi" w:cstheme="minorHAnsi"/>
        <w:sz w:val="16"/>
        <w:szCs w:val="16"/>
      </w:rPr>
    </w:pPr>
    <w:r w:rsidRPr="0054223C">
      <w:rPr>
        <w:rFonts w:asciiTheme="minorHAnsi" w:hAnsiTheme="minorHAnsi" w:cstheme="minorHAnsi"/>
        <w:sz w:val="16"/>
        <w:szCs w:val="16"/>
      </w:rPr>
      <w:t xml:space="preserve">Versiunea </w:t>
    </w:r>
    <w:r w:rsidR="0054223C" w:rsidRPr="0054223C">
      <w:rPr>
        <w:rFonts w:asciiTheme="minorHAnsi" w:hAnsiTheme="minorHAnsi" w:cstheme="minorHAnsi"/>
        <w:sz w:val="16"/>
        <w:szCs w:val="16"/>
      </w:rPr>
      <w:t>1</w:t>
    </w:r>
  </w:p>
  <w:p w14:paraId="4513B2C4" w14:textId="77777777" w:rsidR="0054223C" w:rsidRPr="0053778E" w:rsidRDefault="0054223C" w:rsidP="0054223C">
    <w:pPr>
      <w:pStyle w:val="Header"/>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17B40"/>
    <w:rsid w:val="00123F22"/>
    <w:rsid w:val="001352FA"/>
    <w:rsid w:val="00135993"/>
    <w:rsid w:val="00144F90"/>
    <w:rsid w:val="001571E5"/>
    <w:rsid w:val="00175275"/>
    <w:rsid w:val="001761AB"/>
    <w:rsid w:val="00196859"/>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12BB5"/>
    <w:rsid w:val="0032269B"/>
    <w:rsid w:val="00325CB6"/>
    <w:rsid w:val="00331BB7"/>
    <w:rsid w:val="00352FC4"/>
    <w:rsid w:val="00355EA8"/>
    <w:rsid w:val="003637EF"/>
    <w:rsid w:val="00392392"/>
    <w:rsid w:val="003C2748"/>
    <w:rsid w:val="003E4F7B"/>
    <w:rsid w:val="0041482D"/>
    <w:rsid w:val="004150D6"/>
    <w:rsid w:val="00422194"/>
    <w:rsid w:val="00434426"/>
    <w:rsid w:val="004361CB"/>
    <w:rsid w:val="00453EFA"/>
    <w:rsid w:val="00461F4C"/>
    <w:rsid w:val="00465576"/>
    <w:rsid w:val="00474ABB"/>
    <w:rsid w:val="0048158E"/>
    <w:rsid w:val="004A2BAF"/>
    <w:rsid w:val="004A7C0D"/>
    <w:rsid w:val="004C4998"/>
    <w:rsid w:val="004F63A2"/>
    <w:rsid w:val="0053778E"/>
    <w:rsid w:val="0054223C"/>
    <w:rsid w:val="00546C2E"/>
    <w:rsid w:val="00564D99"/>
    <w:rsid w:val="00574027"/>
    <w:rsid w:val="00585778"/>
    <w:rsid w:val="00594BD2"/>
    <w:rsid w:val="005970DE"/>
    <w:rsid w:val="00597D51"/>
    <w:rsid w:val="005A07C8"/>
    <w:rsid w:val="005A12DC"/>
    <w:rsid w:val="005E3349"/>
    <w:rsid w:val="005F5AB4"/>
    <w:rsid w:val="00602B28"/>
    <w:rsid w:val="0061695A"/>
    <w:rsid w:val="00623B42"/>
    <w:rsid w:val="00625C85"/>
    <w:rsid w:val="00652705"/>
    <w:rsid w:val="00652D21"/>
    <w:rsid w:val="00675AE2"/>
    <w:rsid w:val="00680E8D"/>
    <w:rsid w:val="0068121C"/>
    <w:rsid w:val="00681D82"/>
    <w:rsid w:val="00696C56"/>
    <w:rsid w:val="006B3552"/>
    <w:rsid w:val="006D4AAD"/>
    <w:rsid w:val="00705074"/>
    <w:rsid w:val="007206FB"/>
    <w:rsid w:val="0073742C"/>
    <w:rsid w:val="0074211A"/>
    <w:rsid w:val="00755A69"/>
    <w:rsid w:val="00755BE2"/>
    <w:rsid w:val="00760BD7"/>
    <w:rsid w:val="00762DED"/>
    <w:rsid w:val="00794623"/>
    <w:rsid w:val="007A11E4"/>
    <w:rsid w:val="007D26DE"/>
    <w:rsid w:val="007D6C8F"/>
    <w:rsid w:val="007E35A9"/>
    <w:rsid w:val="008015B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0034"/>
    <w:rsid w:val="00995D42"/>
    <w:rsid w:val="009968EF"/>
    <w:rsid w:val="009C35EC"/>
    <w:rsid w:val="009D075C"/>
    <w:rsid w:val="009D4F21"/>
    <w:rsid w:val="00A06F23"/>
    <w:rsid w:val="00A14612"/>
    <w:rsid w:val="00A20427"/>
    <w:rsid w:val="00A20E7D"/>
    <w:rsid w:val="00A30822"/>
    <w:rsid w:val="00A40645"/>
    <w:rsid w:val="00A535A7"/>
    <w:rsid w:val="00A76AB7"/>
    <w:rsid w:val="00A76BD0"/>
    <w:rsid w:val="00A80C0F"/>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2193C"/>
    <w:rsid w:val="00C41184"/>
    <w:rsid w:val="00CC2C62"/>
    <w:rsid w:val="00D03B03"/>
    <w:rsid w:val="00D11C05"/>
    <w:rsid w:val="00D16F2C"/>
    <w:rsid w:val="00D20661"/>
    <w:rsid w:val="00D570E0"/>
    <w:rsid w:val="00D57997"/>
    <w:rsid w:val="00D843D8"/>
    <w:rsid w:val="00D87A5D"/>
    <w:rsid w:val="00D9159A"/>
    <w:rsid w:val="00D92EFB"/>
    <w:rsid w:val="00D93EDC"/>
    <w:rsid w:val="00D96140"/>
    <w:rsid w:val="00DA78CD"/>
    <w:rsid w:val="00DB5F7D"/>
    <w:rsid w:val="00DF29EC"/>
    <w:rsid w:val="00E00117"/>
    <w:rsid w:val="00E04587"/>
    <w:rsid w:val="00E06B81"/>
    <w:rsid w:val="00E10C18"/>
    <w:rsid w:val="00E22C20"/>
    <w:rsid w:val="00E3739B"/>
    <w:rsid w:val="00E564E4"/>
    <w:rsid w:val="00E92042"/>
    <w:rsid w:val="00E9677B"/>
    <w:rsid w:val="00ED19A2"/>
    <w:rsid w:val="00ED5D67"/>
    <w:rsid w:val="00ED74D5"/>
    <w:rsid w:val="00EF7774"/>
    <w:rsid w:val="00F068A2"/>
    <w:rsid w:val="00F14184"/>
    <w:rsid w:val="00F460C9"/>
    <w:rsid w:val="00F60FBD"/>
    <w:rsid w:val="00FA2787"/>
    <w:rsid w:val="00FC1128"/>
    <w:rsid w:val="00FD5EB3"/>
    <w:rsid w:val="00FE194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nhideWhenUsed/>
    <w:rsid w:val="007D26DE"/>
    <w:pPr>
      <w:tabs>
        <w:tab w:val="center" w:pos="4536"/>
        <w:tab w:val="right" w:pos="9072"/>
      </w:tabs>
      <w:spacing w:before="0" w:after="0"/>
    </w:pPr>
  </w:style>
  <w:style w:type="character" w:customStyle="1" w:styleId="HeaderChar">
    <w:name w:val="Header Char"/>
    <w:basedOn w:val="DefaultParagraphFont"/>
    <w:link w:val="Header"/>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331BB7"/>
    <w:rPr>
      <w:rFonts w:ascii="Trebuchet MS" w:hAnsi="Trebuchet MS"/>
      <w:szCs w:val="24"/>
      <w:lang w:eastAsia="en-US"/>
    </w:rPr>
  </w:style>
  <w:style w:type="character" w:customStyle="1" w:styleId="HeaderChar1">
    <w:name w:val="Header Char1"/>
    <w:basedOn w:val="DefaultParagraphFon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2298</Words>
  <Characters>13103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cp:lastPrinted>2016-05-25T08:35:00Z</cp:lastPrinted>
  <dcterms:created xsi:type="dcterms:W3CDTF">2024-04-11T09:52:00Z</dcterms:created>
  <dcterms:modified xsi:type="dcterms:W3CDTF">2024-06-05T10:44:00Z</dcterms:modified>
</cp:coreProperties>
</file>